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5.png" ContentType="image/png"/>
  <Override PartName="/word/media/rId28.png" ContentType="image/png"/>
  <Override PartName="/word/media/rId21.png" ContentType="image/png"/>
  <Override PartName="/word/media/rId49.png" ContentType="image/png"/>
  <Override PartName="/word/media/rId35.png" ContentType="image/png"/>
  <Override PartName="/word/media/rId38.png" ContentType="image/png"/>
  <Override PartName="/word/media/rId41.png" ContentType="image/png"/>
  <Override PartName="/word/media/rId45.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Wikidata</w:t>
      </w:r>
    </w:p>
    <w:p>
      <w:pPr>
        <w:pStyle w:val="Subtitle"/>
      </w:pPr>
      <w:r>
        <w:t xml:space="preserve">Tutorial:</w:t>
      </w:r>
      <w:r>
        <w:t xml:space="preserve"> </w:t>
      </w:r>
      <w:r>
        <w:t xml:space="preserve">Using</w:t>
      </w:r>
      <w:r>
        <w:t xml:space="preserve"> </w:t>
      </w:r>
      <w:r>
        <w:t xml:space="preserve">Wikidata</w:t>
      </w:r>
      <w:r>
        <w:t xml:space="preserve"> </w:t>
      </w:r>
      <w:r>
        <w:t xml:space="preserve">and</w:t>
      </w:r>
      <w:r>
        <w:t xml:space="preserve"> </w:t>
      </w:r>
      <w:r>
        <w:t xml:space="preserve">Wikimedia</w:t>
      </w:r>
      <w:r>
        <w:t xml:space="preserve"> </w:t>
      </w:r>
      <w:r>
        <w:t xml:space="preserve">Commons</w:t>
      </w:r>
      <w:r>
        <w:t xml:space="preserve"> </w:t>
      </w:r>
      <w:r>
        <w:t xml:space="preserve">for</w:t>
      </w:r>
      <w:r>
        <w:t xml:space="preserve"> </w:t>
      </w:r>
      <w:r>
        <w:t xml:space="preserve">Global</w:t>
      </w:r>
      <w:r>
        <w:t xml:space="preserve"> </w:t>
      </w:r>
      <w:r>
        <w:t xml:space="preserve">Identification</w:t>
      </w:r>
    </w:p>
    <w:p>
      <w:pPr>
        <w:pStyle w:val="Author"/>
      </w:pPr>
      <w:r>
        <w:t xml:space="preserve">Daniel</w:t>
      </w:r>
      <w:r>
        <w:t xml:space="preserve"> </w:t>
      </w:r>
      <w:r>
        <w:t xml:space="preserve">Antal</w:t>
      </w:r>
    </w:p>
    <w:p>
      <w:pPr>
        <w:pStyle w:val="Date"/>
      </w:pPr>
      <w:r>
        <w:t xml:space="preserve">2024-02-11</w:t>
      </w:r>
    </w:p>
    <w:bookmarkStart w:id="20" w:name="global-identities"/>
    <w:p>
      <w:pPr>
        <w:pStyle w:val="Heading2"/>
      </w:pPr>
      <w:r>
        <w:t xml:space="preserve">Global Identities</w:t>
      </w:r>
    </w:p>
    <w:p>
      <w:pPr>
        <w:pStyle w:val="FirstParagraph"/>
      </w:pPr>
      <w:r>
        <w:t xml:space="preserve">In this tutorial, I will follow up on the publication of a scanned postcard by</w:t>
      </w:r>
      <w:r>
        <w:t xml:space="preserve"> </w:t>
      </w:r>
      <w:r>
        <w:rPr>
          <w:rStyle w:val="VerbatimChar"/>
        </w:rPr>
        <w:t xml:space="preserve">Barasits</w:t>
      </w:r>
      <w:r>
        <w:t xml:space="preserve">. Mr and Mrs Barasits, a.k.a. János Barasits (1859-1935) and his wife, Barasits, Jánosné, born Pichler, Kornélia, were prominent postcard producers and publishers at the beginning of the 20th century. There are plenty of beautiful postcards available from them.</w:t>
      </w:r>
    </w:p>
    <w:p>
      <w:pPr>
        <w:pStyle w:val="BodyText"/>
      </w:pPr>
      <w:r>
        <w:t xml:space="preserve">In the 1920s and 1930s, the authors’ right (~copyright) protection of photographs and postcards was relatively short, only 15 years, so their postcards went into the public domain in terms of copying long ago.</w:t>
      </w:r>
    </w:p>
    <w:p>
      <w:pPr>
        <w:pStyle w:val="BodyText"/>
      </w:pPr>
      <w:r>
        <w:t xml:space="preserve">Unfortunately, I did not find their name in the most commonly used authority controls, i.e., neither in VIAF nor ISNI. Writing to VIAF is only possible via member institutions, and ISNI costs money. As a temporary solution, I create a Wikidata QID for János Barakovits until somebody registers his name into VIAF.</w:t>
      </w:r>
    </w:p>
    <w:p>
      <w:pPr>
        <w:pStyle w:val="BodyText"/>
      </w:pPr>
      <w:r>
        <w:t xml:space="preserve">Writing in Wikidata is free for all and subject to community review. If you read this tutorial, please pledge to record new persons (or other items) into Wikidata if your knowledge is solid. You can verify the information with research.</w:t>
      </w:r>
    </w:p>
    <w:p>
      <w:pPr>
        <w:pStyle w:val="BodyText"/>
      </w:pPr>
      <w:r>
        <w:t xml:space="preserve">After creating a QID for János Barakovics, we uploaded one of their family business’s public domain works onto Wikimedia Commons, then to archive.org and Flickr.</w:t>
      </w:r>
    </w:p>
    <w:bookmarkEnd w:id="20"/>
    <w:bookmarkStart w:id="34" w:name="create-a-wikidata-item"/>
    <w:p>
      <w:pPr>
        <w:pStyle w:val="Heading2"/>
      </w:pPr>
      <w:r>
        <w:t xml:space="preserve">Create a Wikidata Item</w:t>
      </w:r>
    </w:p>
    <w:p>
      <w:pPr>
        <w:pStyle w:val="FirstParagraph"/>
      </w:pPr>
      <w:r>
        <w:t xml:space="preserve">In this tutorial you will learn how to create a new entry on Wikidata.</w:t>
      </w:r>
    </w:p>
    <w:p>
      <w:pPr>
        <w:pStyle w:val="CaptionedFigure"/>
      </w:pPr>
      <w:r>
        <w:drawing>
          <wp:inline>
            <wp:extent cx="5791200" cy="3256547"/>
            <wp:effectExtent b="0" l="0" r="0" t="0"/>
            <wp:docPr descr="Create a Wikidata entry (and page) for a Thing (including a fictional, deceased or living person) on Wikidata." title="" id="22" name="Picture"/>
            <a:graphic>
              <a:graphicData uri="http://schemas.openxmlformats.org/drawingml/2006/picture">
                <pic:pic>
                  <pic:nvPicPr>
                    <pic:cNvPr descr="png/wikidata-tutorial/wikidata-create-new-item-Janos-Barasits-20240204.png" id="23" name="Picture"/>
                    <pic:cNvPicPr>
                      <a:picLocks noChangeArrowheads="1" noChangeAspect="1"/>
                    </pic:cNvPicPr>
                  </pic:nvPicPr>
                  <pic:blipFill>
                    <a:blip r:embed="rId21"/>
                    <a:stretch>
                      <a:fillRect/>
                    </a:stretch>
                  </pic:blipFill>
                  <pic:spPr bwMode="auto">
                    <a:xfrm>
                      <a:off x="0" y="0"/>
                      <a:ext cx="5791200" cy="3256547"/>
                    </a:xfrm>
                    <a:prstGeom prst="rect">
                      <a:avLst/>
                    </a:prstGeom>
                    <a:noFill/>
                    <a:ln w="9525">
                      <a:noFill/>
                      <a:headEnd/>
                      <a:tailEnd/>
                    </a:ln>
                  </pic:spPr>
                </pic:pic>
              </a:graphicData>
            </a:graphic>
          </wp:inline>
        </w:drawing>
      </w:r>
    </w:p>
    <w:p>
      <w:pPr>
        <w:pStyle w:val="ImageCaption"/>
      </w:pPr>
      <w:r>
        <w:t xml:space="preserve">Create a Wikidata entry (and page) for a Thing (including a fictional, deceased or living person) on Wikidata.</w:t>
      </w:r>
    </w:p>
    <w:p>
      <w:pPr>
        <w:pStyle w:val="BodyText"/>
      </w:pPr>
      <w:r>
        <w:t xml:space="preserve">Wikidata is used all over the world to connect and refine knowledge. Do not pollute the system with half-baked ideas, ill-researched items. There are many test and learning environments called</w:t>
      </w:r>
      <w:r>
        <w:t xml:space="preserve"> </w:t>
      </w:r>
      <w:hyperlink r:id="rId24">
        <w:r>
          <w:rPr>
            <w:rStyle w:val="Hyperlink"/>
          </w:rPr>
          <w:t xml:space="preserve">sandboxes</w:t>
        </w:r>
      </w:hyperlink>
      <w:r>
        <w:t xml:space="preserve"> </w:t>
      </w:r>
      <w:r>
        <w:t xml:space="preserve">for practicing. You should only write into Wikidata when you are absolutely certain about your facts.</w:t>
      </w:r>
    </w:p>
    <w:p>
      <w:pPr>
        <w:pStyle w:val="CaptionedFigure"/>
      </w:pPr>
      <w:r>
        <w:drawing>
          <wp:inline>
            <wp:extent cx="5791200" cy="3256547"/>
            <wp:effectExtent b="0" l="0" r="0" t="0"/>
            <wp:docPr descr="On the graphical user interface (GUI) you will be instructed to give out the most basic details of this new entry." title="" id="26" name="Picture"/>
            <a:graphic>
              <a:graphicData uri="http://schemas.openxmlformats.org/drawingml/2006/picture">
                <pic:pic>
                  <pic:nvPicPr>
                    <pic:cNvPr descr="png/wikidata-tutorial/wikidata-create-new-item-Janos-Barasits-20240204-2.png" id="27" name="Picture"/>
                    <pic:cNvPicPr>
                      <a:picLocks noChangeArrowheads="1" noChangeAspect="1"/>
                    </pic:cNvPicPr>
                  </pic:nvPicPr>
                  <pic:blipFill>
                    <a:blip r:embed="rId25"/>
                    <a:stretch>
                      <a:fillRect/>
                    </a:stretch>
                  </pic:blipFill>
                  <pic:spPr bwMode="auto">
                    <a:xfrm>
                      <a:off x="0" y="0"/>
                      <a:ext cx="5791200" cy="3256547"/>
                    </a:xfrm>
                    <a:prstGeom prst="rect">
                      <a:avLst/>
                    </a:prstGeom>
                    <a:noFill/>
                    <a:ln w="9525">
                      <a:noFill/>
                      <a:headEnd/>
                      <a:tailEnd/>
                    </a:ln>
                  </pic:spPr>
                </pic:pic>
              </a:graphicData>
            </a:graphic>
          </wp:inline>
        </w:drawing>
      </w:r>
    </w:p>
    <w:p>
      <w:pPr>
        <w:pStyle w:val="ImageCaption"/>
      </w:pPr>
      <w:r>
        <w:t xml:space="preserve">On the graphical user interface (GUI) you will be instructed to give out the most basic details of this new entry.</w:t>
      </w:r>
    </w:p>
    <w:p>
      <w:pPr>
        <w:pStyle w:val="BodyText"/>
      </w:pPr>
      <w:r>
        <w:t xml:space="preserve">Add a few, basic statements to your new item, for example, the János Barasits is a human, he was male, born in 1859 (with the precision of a year only) and died in 1935.</w:t>
      </w:r>
    </w:p>
    <w:p>
      <w:pPr>
        <w:pStyle w:val="CaptionedFigure"/>
      </w:pPr>
      <w:r>
        <w:drawing>
          <wp:inline>
            <wp:extent cx="5791200" cy="3256547"/>
            <wp:effectExtent b="0" l="0" r="0" t="0"/>
            <wp:docPr descr="You do not need to know property identifiers and any code to work in the GUI." title="" id="29" name="Picture"/>
            <a:graphic>
              <a:graphicData uri="http://schemas.openxmlformats.org/drawingml/2006/picture">
                <pic:pic>
                  <pic:nvPicPr>
                    <pic:cNvPr descr="png/wikidata-tutorial/wikidata-create-new-item-Janos-Barasits-20240204-3.png" id="30" name="Picture"/>
                    <pic:cNvPicPr>
                      <a:picLocks noChangeArrowheads="1" noChangeAspect="1"/>
                    </pic:cNvPicPr>
                  </pic:nvPicPr>
                  <pic:blipFill>
                    <a:blip r:embed="rId28"/>
                    <a:stretch>
                      <a:fillRect/>
                    </a:stretch>
                  </pic:blipFill>
                  <pic:spPr bwMode="auto">
                    <a:xfrm>
                      <a:off x="0" y="0"/>
                      <a:ext cx="5791200" cy="3256547"/>
                    </a:xfrm>
                    <a:prstGeom prst="rect">
                      <a:avLst/>
                    </a:prstGeom>
                    <a:noFill/>
                    <a:ln w="9525">
                      <a:noFill/>
                      <a:headEnd/>
                      <a:tailEnd/>
                    </a:ln>
                  </pic:spPr>
                </pic:pic>
              </a:graphicData>
            </a:graphic>
          </wp:inline>
        </w:drawing>
      </w:r>
    </w:p>
    <w:p>
      <w:pPr>
        <w:pStyle w:val="ImageCaption"/>
      </w:pPr>
      <w:r>
        <w:t xml:space="preserve">You do not need to know property identifiers and any code to work in the GUI.</w:t>
      </w:r>
    </w:p>
    <w:p>
      <w:pPr>
        <w:pStyle w:val="BodyText"/>
      </w:pPr>
      <w:r>
        <w:drawing>
          <wp:inline>
            <wp:extent cx="5791200" cy="3256547"/>
            <wp:effectExtent b="0" l="0" r="0" t="0"/>
            <wp:docPr descr="" title="" id="31" name="Picture"/>
            <a:graphic>
              <a:graphicData uri="http://schemas.openxmlformats.org/drawingml/2006/picture">
                <pic:pic>
                  <pic:nvPicPr>
                    <pic:cNvPr descr="png/wikidata-tutorial/wikidata-create-new-item-Janos-Barasits-20240204-3.png" id="32" name="Picture"/>
                    <pic:cNvPicPr>
                      <a:picLocks noChangeArrowheads="1" noChangeAspect="1"/>
                    </pic:cNvPicPr>
                  </pic:nvPicPr>
                  <pic:blipFill>
                    <a:blip r:embed="rId28"/>
                    <a:stretch>
                      <a:fillRect/>
                    </a:stretch>
                  </pic:blipFill>
                  <pic:spPr bwMode="auto">
                    <a:xfrm>
                      <a:off x="0" y="0"/>
                      <a:ext cx="5791200" cy="3256547"/>
                    </a:xfrm>
                    <a:prstGeom prst="rect">
                      <a:avLst/>
                    </a:prstGeom>
                    <a:noFill/>
                    <a:ln w="9525">
                      <a:noFill/>
                      <a:headEnd/>
                      <a:tailEnd/>
                    </a:ln>
                  </pic:spPr>
                </pic:pic>
              </a:graphicData>
            </a:graphic>
          </wp:inline>
        </w:drawing>
      </w:r>
    </w:p>
    <w:p>
      <w:pPr>
        <w:pStyle w:val="BodyText"/>
      </w:pPr>
      <w:r>
        <w:t xml:space="preserve">Here is a very basic Wikidata page for</w:t>
      </w:r>
      <w:r>
        <w:t xml:space="preserve"> </w:t>
      </w:r>
      <w:hyperlink r:id="rId33">
        <w:r>
          <w:rPr>
            <w:rStyle w:val="Hyperlink"/>
          </w:rPr>
          <w:t xml:space="preserve">János Barasits</w:t>
        </w:r>
      </w:hyperlink>
      <w:r>
        <w:t xml:space="preserve">. What is very important that we have a globally unique identifier,</w:t>
      </w:r>
      <w:r>
        <w:t xml:space="preserve"> </w:t>
      </w:r>
      <w:r>
        <w:rPr>
          <w:rStyle w:val="VerbatimChar"/>
        </w:rPr>
        <w:t xml:space="preserve">Q124423018</w:t>
      </w:r>
      <w:r>
        <w:t xml:space="preserve"> </w:t>
      </w:r>
      <w:r>
        <w:t xml:space="preserve">that uniquely identifies him as a human. Later, when somebody creates a VIAF or ISNI identifier for him, we can connect this Wikidata page (i.e.,</w:t>
      </w:r>
      <w:r>
        <w:t xml:space="preserve"> </w:t>
      </w:r>
      <w:hyperlink r:id="rId33">
        <w:r>
          <w:rPr>
            <w:rStyle w:val="Hyperlink"/>
          </w:rPr>
          <w:t xml:space="preserve">Q124423018</w:t>
        </w:r>
      </w:hyperlink>
      <w:r>
        <w:t xml:space="preserve">) to those authority files.</w:t>
      </w:r>
    </w:p>
    <w:bookmarkEnd w:id="34"/>
    <w:bookmarkStart w:id="48" w:name="upload-to-wikimedia-commons"/>
    <w:p>
      <w:pPr>
        <w:pStyle w:val="Heading2"/>
      </w:pPr>
      <w:r>
        <w:t xml:space="preserve">Upload to Wikimedia Commons</w:t>
      </w:r>
    </w:p>
    <w:p>
      <w:pPr>
        <w:pStyle w:val="FirstParagraph"/>
      </w:pPr>
      <w:r>
        <w:t xml:space="preserve">You will face a rights notice: you can only upload files where you are the author and give a free cultural license, or you know that that the image is in the public domain.</w:t>
      </w:r>
    </w:p>
    <w:p>
      <w:pPr>
        <w:pStyle w:val="CaptionedFigure"/>
      </w:pPr>
      <w:r>
        <w:drawing>
          <wp:inline>
            <wp:extent cx="5791200" cy="3256547"/>
            <wp:effectExtent b="0" l="0" r="0" t="0"/>
            <wp:docPr descr="Only upload images if you are absolutely certain that you are not infringing anybody’s copyright." title="" id="36" name="Picture"/>
            <a:graphic>
              <a:graphicData uri="http://schemas.openxmlformats.org/drawingml/2006/picture">
                <pic:pic>
                  <pic:nvPicPr>
                    <pic:cNvPr descr="png/wikidata-tutorial/wikimedia-upload-new-item-20240204-1.png" id="37" name="Picture"/>
                    <pic:cNvPicPr>
                      <a:picLocks noChangeArrowheads="1" noChangeAspect="1"/>
                    </pic:cNvPicPr>
                  </pic:nvPicPr>
                  <pic:blipFill>
                    <a:blip r:embed="rId35"/>
                    <a:stretch>
                      <a:fillRect/>
                    </a:stretch>
                  </pic:blipFill>
                  <pic:spPr bwMode="auto">
                    <a:xfrm>
                      <a:off x="0" y="0"/>
                      <a:ext cx="5791200" cy="3256547"/>
                    </a:xfrm>
                    <a:prstGeom prst="rect">
                      <a:avLst/>
                    </a:prstGeom>
                    <a:noFill/>
                    <a:ln w="9525">
                      <a:noFill/>
                      <a:headEnd/>
                      <a:tailEnd/>
                    </a:ln>
                  </pic:spPr>
                </pic:pic>
              </a:graphicData>
            </a:graphic>
          </wp:inline>
        </w:drawing>
      </w:r>
    </w:p>
    <w:p>
      <w:pPr>
        <w:pStyle w:val="ImageCaption"/>
      </w:pPr>
      <w:r>
        <w:t xml:space="preserve">Only upload images if you are absolutely certain that you are not infringing anybody’s copyright.</w:t>
      </w:r>
    </w:p>
    <w:p>
      <w:pPr>
        <w:pStyle w:val="BodyText"/>
      </w:pPr>
      <w:r>
        <w:t xml:space="preserve">Give a meaningful identifier (unique part of the future URL of the image.) It is a good idea to use a filename that refers back to your catalogue, in this case, I use:</w:t>
      </w:r>
    </w:p>
    <w:p>
      <w:pPr>
        <w:pStyle w:val="CaptionedFigure"/>
      </w:pPr>
      <w:r>
        <w:drawing>
          <wp:inline>
            <wp:extent cx="5791200" cy="3256547"/>
            <wp:effectExtent b="0" l="0" r="0" t="0"/>
            <wp:docPr descr="You should use a good identifier, for example, your own file name or local database ID" title="" id="39" name="Picture"/>
            <a:graphic>
              <a:graphicData uri="http://schemas.openxmlformats.org/drawingml/2006/picture">
                <pic:pic>
                  <pic:nvPicPr>
                    <pic:cNvPr descr="png/wikidata-tutorial/wikimedia-upload-new-item-20240204-2.png" id="40" name="Picture"/>
                    <pic:cNvPicPr>
                      <a:picLocks noChangeArrowheads="1" noChangeAspect="1"/>
                    </pic:cNvPicPr>
                  </pic:nvPicPr>
                  <pic:blipFill>
                    <a:blip r:embed="rId38"/>
                    <a:stretch>
                      <a:fillRect/>
                    </a:stretch>
                  </pic:blipFill>
                  <pic:spPr bwMode="auto">
                    <a:xfrm>
                      <a:off x="0" y="0"/>
                      <a:ext cx="5791200" cy="3256547"/>
                    </a:xfrm>
                    <a:prstGeom prst="rect">
                      <a:avLst/>
                    </a:prstGeom>
                    <a:noFill/>
                    <a:ln w="9525">
                      <a:noFill/>
                      <a:headEnd/>
                      <a:tailEnd/>
                    </a:ln>
                  </pic:spPr>
                </pic:pic>
              </a:graphicData>
            </a:graphic>
          </wp:inline>
        </w:drawing>
      </w:r>
    </w:p>
    <w:p>
      <w:pPr>
        <w:pStyle w:val="ImageCaption"/>
      </w:pPr>
      <w:r>
        <w:t xml:space="preserve">You should use a good identifier, for example, your own file name or local database ID</w:t>
      </w:r>
    </w:p>
    <w:p>
      <w:pPr>
        <w:pStyle w:val="BodyText"/>
      </w:pPr>
      <w:r>
        <w:t xml:space="preserve">Now it is time to describe the uploaded item. In this page, I am giving it an English and a Hungarian title, for example, which is the same as it is found in the inventory book and the catalogue:</w:t>
      </w:r>
    </w:p>
    <w:p>
      <w:pPr>
        <w:pStyle w:val="BodyText"/>
      </w:pPr>
      <w:r>
        <w:drawing>
          <wp:inline>
            <wp:extent cx="5791200" cy="3256547"/>
            <wp:effectExtent b="0" l="0" r="0" t="0"/>
            <wp:docPr descr="You can describe your new item in multiple languages with the GUI" title="" id="42" name="Picture"/>
            <a:graphic>
              <a:graphicData uri="http://schemas.openxmlformats.org/drawingml/2006/picture">
                <pic:pic>
                  <pic:nvPicPr>
                    <pic:cNvPr descr="png/wikidata-tutorial/wikimedia-upload-new-item-20240204-3.png" id="43" name="Picture"/>
                    <pic:cNvPicPr>
                      <a:picLocks noChangeArrowheads="1" noChangeAspect="1"/>
                    </pic:cNvPicPr>
                  </pic:nvPicPr>
                  <pic:blipFill>
                    <a:blip r:embed="rId41"/>
                    <a:stretch>
                      <a:fillRect/>
                    </a:stretch>
                  </pic:blipFill>
                  <pic:spPr bwMode="auto">
                    <a:xfrm>
                      <a:off x="0" y="0"/>
                      <a:ext cx="5791200" cy="3256547"/>
                    </a:xfrm>
                    <a:prstGeom prst="rect">
                      <a:avLst/>
                    </a:prstGeom>
                    <a:noFill/>
                    <a:ln w="9525">
                      <a:noFill/>
                      <a:headEnd/>
                      <a:tailEnd/>
                    </a:ln>
                  </pic:spPr>
                </pic:pic>
              </a:graphicData>
            </a:graphic>
          </wp:inline>
        </w:drawing>
      </w:r>
      <w:r>
        <w:t xml:space="preserve"> </w:t>
      </w:r>
      <w:r>
        <w:t xml:space="preserve">Now we can add more semantic information about the image. We describe with existing Wikidata entries what is</w:t>
      </w:r>
      <w:r>
        <w:t xml:space="preserve"> </w:t>
      </w:r>
      <w:r>
        <w:rPr>
          <w:iCs/>
          <w:i/>
        </w:rPr>
        <w:t xml:space="preserve">known</w:t>
      </w:r>
      <w:r>
        <w:t xml:space="preserve"> </w:t>
      </w:r>
      <w:r>
        <w:t xml:space="preserve">about this postcard. For example, here I state that it describes Margaret island, the</w:t>
      </w:r>
      <w:r>
        <w:t xml:space="preserve"> </w:t>
      </w:r>
      <w:r>
        <w:rPr>
          <w:iCs/>
          <w:i/>
        </w:rPr>
        <w:t xml:space="preserve">Margaret Island</w:t>
      </w:r>
      <w:r>
        <w:t xml:space="preserve"> </w:t>
      </w:r>
      <w:r>
        <w:t xml:space="preserve">(</w:t>
      </w:r>
      <w:hyperlink r:id="rId44">
        <w:r>
          <w:rPr>
            <w:rStyle w:val="Hyperlink"/>
          </w:rPr>
          <w:t xml:space="preserve">Q18816</w:t>
        </w:r>
      </w:hyperlink>
      <w:r>
        <w:t xml:space="preserve">) tramstop on the Margaret Bridge; furthermore, I connect the image to the previously created</w:t>
      </w:r>
      <w:r>
        <w:t xml:space="preserve"> </w:t>
      </w:r>
      <w:r>
        <w:rPr>
          <w:iCs/>
          <w:i/>
        </w:rPr>
        <w:t xml:space="preserve">János Barasits</w:t>
      </w:r>
      <w:r>
        <w:t xml:space="preserve"> </w:t>
      </w:r>
      <w:r>
        <w:t xml:space="preserve">(</w:t>
      </w:r>
      <w:hyperlink r:id="rId33">
        <w:r>
          <w:rPr>
            <w:rStyle w:val="Hyperlink"/>
          </w:rPr>
          <w:t xml:space="preserve">Q124423018</w:t>
        </w:r>
      </w:hyperlink>
      <w:r>
        <w:t xml:space="preserve">) item.</w:t>
      </w:r>
    </w:p>
    <w:p>
      <w:pPr>
        <w:pStyle w:val="BodyText"/>
      </w:pPr>
      <w:r>
        <w:drawing>
          <wp:inline>
            <wp:extent cx="5791200" cy="3256547"/>
            <wp:effectExtent b="0" l="0" r="0" t="0"/>
            <wp:docPr descr="" title="" id="46" name="Picture"/>
            <a:graphic>
              <a:graphicData uri="http://schemas.openxmlformats.org/drawingml/2006/picture">
                <pic:pic>
                  <pic:nvPicPr>
                    <pic:cNvPr descr="png/wikidata-tutorial/wikimedia-upload-new-item-20240204-4.png" id="47" name="Picture"/>
                    <pic:cNvPicPr>
                      <a:picLocks noChangeArrowheads="1" noChangeAspect="1"/>
                    </pic:cNvPicPr>
                  </pic:nvPicPr>
                  <pic:blipFill>
                    <a:blip r:embed="rId45"/>
                    <a:stretch>
                      <a:fillRect/>
                    </a:stretch>
                  </pic:blipFill>
                  <pic:spPr bwMode="auto">
                    <a:xfrm>
                      <a:off x="0" y="0"/>
                      <a:ext cx="5791200" cy="3256547"/>
                    </a:xfrm>
                    <a:prstGeom prst="rect">
                      <a:avLst/>
                    </a:prstGeom>
                    <a:noFill/>
                    <a:ln w="9525">
                      <a:noFill/>
                      <a:headEnd/>
                      <a:tailEnd/>
                    </a:ln>
                  </pic:spPr>
                </pic:pic>
              </a:graphicData>
            </a:graphic>
          </wp:inline>
        </w:drawing>
      </w:r>
    </w:p>
    <w:bookmarkEnd w:id="48"/>
    <w:bookmarkStart w:id="52" w:name="linking-knowledge"/>
    <w:p>
      <w:pPr>
        <w:pStyle w:val="Heading2"/>
      </w:pPr>
      <w:r>
        <w:t xml:space="preserve">Linking Knowledge</w:t>
      </w:r>
    </w:p>
    <w:p>
      <w:pPr>
        <w:pStyle w:val="FirstParagraph"/>
      </w:pPr>
      <w:r>
        <w:t xml:space="preserve">What happened here? We did not simply connect a very basic biography, a scanned vintage postcard and a database entry about a bridge. We linked together in machine-readable (and human readable) form knowledge about a person, his work, and the depicted small island; not only a string, i.e., the name of the island, but</w:t>
      </w:r>
    </w:p>
    <w:p>
      <w:pPr>
        <w:numPr>
          <w:ilvl w:val="0"/>
          <w:numId w:val="1001"/>
        </w:numPr>
        <w:pStyle w:val="Compact"/>
      </w:pPr>
      <w:r>
        <w:t xml:space="preserve">the name of the island in many languages;</w:t>
      </w:r>
    </w:p>
    <w:p>
      <w:pPr>
        <w:numPr>
          <w:ilvl w:val="0"/>
          <w:numId w:val="1001"/>
        </w:numPr>
        <w:pStyle w:val="Compact"/>
      </w:pPr>
      <w:r>
        <w:t xml:space="preserve">an encyclopedical description of the island in many languages;</w:t>
      </w:r>
    </w:p>
    <w:p>
      <w:pPr>
        <w:numPr>
          <w:ilvl w:val="0"/>
          <w:numId w:val="1001"/>
        </w:numPr>
        <w:pStyle w:val="Compact"/>
      </w:pPr>
      <w:r>
        <w:t xml:space="preserve">a geocoded location;</w:t>
      </w:r>
    </w:p>
    <w:p>
      <w:pPr>
        <w:numPr>
          <w:ilvl w:val="0"/>
          <w:numId w:val="1001"/>
        </w:numPr>
        <w:pStyle w:val="Compact"/>
      </w:pPr>
      <w:r>
        <w:t xml:space="preserve">identifiers in the global library catalog linking system VIAF, the catalogue identifiers of the national libraries of the U.S. and Israel that hold information carriers (most likely, books) about the island.</w:t>
      </w:r>
    </w:p>
    <w:p>
      <w:pPr>
        <w:pStyle w:val="CaptionedFigure"/>
      </w:pPr>
      <w:r>
        <w:drawing>
          <wp:inline>
            <wp:extent cx="5791200" cy="3256547"/>
            <wp:effectExtent b="0" l="0" r="0" t="0"/>
            <wp:docPr descr="Under the hood, Wikidata starts to connect a lot of knowledge to the information you have entered, for example, adds GIS geographical information to the location information you entered automatically." title="" id="50" name="Picture"/>
            <a:graphic>
              <a:graphicData uri="http://schemas.openxmlformats.org/drawingml/2006/picture">
                <pic:pic>
                  <pic:nvPicPr>
                    <pic:cNvPr descr="png/wikidata-tutorial/wikimedia-link-item-20240204-1.png" id="51" name="Picture"/>
                    <pic:cNvPicPr>
                      <a:picLocks noChangeArrowheads="1" noChangeAspect="1"/>
                    </pic:cNvPicPr>
                  </pic:nvPicPr>
                  <pic:blipFill>
                    <a:blip r:embed="rId49"/>
                    <a:stretch>
                      <a:fillRect/>
                    </a:stretch>
                  </pic:blipFill>
                  <pic:spPr bwMode="auto">
                    <a:xfrm>
                      <a:off x="0" y="0"/>
                      <a:ext cx="5791200" cy="3256547"/>
                    </a:xfrm>
                    <a:prstGeom prst="rect">
                      <a:avLst/>
                    </a:prstGeom>
                    <a:noFill/>
                    <a:ln w="9525">
                      <a:noFill/>
                      <a:headEnd/>
                      <a:tailEnd/>
                    </a:ln>
                  </pic:spPr>
                </pic:pic>
              </a:graphicData>
            </a:graphic>
          </wp:inline>
        </w:drawing>
      </w:r>
    </w:p>
    <w:p>
      <w:pPr>
        <w:pStyle w:val="ImageCaption"/>
      </w:pPr>
      <w:r>
        <w:t xml:space="preserve">Under the hood, Wikidata starts to connect a lot of knowledge to the information you have entered, for example, adds GIS geographical information to the location information you entered automatically.</w:t>
      </w:r>
    </w:p>
    <w:p>
      <w:pPr>
        <w:pStyle w:val="BodyText"/>
      </w:pPr>
      <w:r>
        <w:t xml:space="preserve">And of course, we created a simple, graphical user interface where people and machines can start to add and link more knowledge about János Barasits.</w:t>
      </w:r>
    </w:p>
    <w:bookmarkEnd w:id="52"/>
    <w:bookmarkStart w:id="72" w:name="wikidata-reader"/>
    <w:p>
      <w:pPr>
        <w:pStyle w:val="Heading2"/>
      </w:pPr>
      <w:r>
        <w:t xml:space="preserve">Further reading</w:t>
      </w:r>
    </w:p>
    <w:p>
      <w:pPr>
        <w:pStyle w:val="FirstParagraph"/>
      </w:pPr>
      <w:r>
        <w:rPr>
          <w:bCs/>
          <w:b/>
        </w:rPr>
        <w:t xml:space="preserve">Bibliography file</w:t>
      </w:r>
      <w:r>
        <w:t xml:space="preserve">:</w:t>
      </w:r>
      <w:r>
        <w:t xml:space="preserve"> </w:t>
      </w:r>
      <w:hyperlink r:id="rId53">
        <w:r>
          <w:rPr>
            <w:rStyle w:val="Hyperlink"/>
          </w:rPr>
          <w:t xml:space="preserve">wikidata.bib</w:t>
        </w:r>
      </w:hyperlink>
    </w:p>
    <w:p>
      <w:pPr>
        <w:numPr>
          <w:ilvl w:val="0"/>
          <w:numId w:val="1002"/>
        </w:numPr>
      </w:pPr>
      <w:r>
        <w:rPr>
          <w:iCs/>
          <w:i/>
        </w:rPr>
        <w:t xml:space="preserve">Wikidata: From</w:t>
      </w:r>
      <w:r>
        <w:rPr>
          <w:iCs/>
          <w:i/>
        </w:rPr>
        <w:t xml:space="preserve"> </w:t>
      </w:r>
      <w:r>
        <w:rPr>
          <w:iCs/>
          <w:i/>
        </w:rPr>
        <w:t xml:space="preserve">“</w:t>
      </w:r>
      <w:r>
        <w:rPr>
          <w:iCs/>
          <w:i/>
        </w:rPr>
        <w:t xml:space="preserve">an</w:t>
      </w:r>
      <w:r>
        <w:rPr>
          <w:iCs/>
          <w:i/>
        </w:rPr>
        <w:t xml:space="preserve">”</w:t>
      </w:r>
      <w:r>
        <w:rPr>
          <w:iCs/>
          <w:i/>
        </w:rPr>
        <w:t xml:space="preserve"> </w:t>
      </w:r>
      <w:r>
        <w:rPr>
          <w:iCs/>
          <w:i/>
        </w:rPr>
        <w:t xml:space="preserve">Identifier to</w:t>
      </w:r>
      <w:r>
        <w:rPr>
          <w:iCs/>
          <w:i/>
        </w:rPr>
        <w:t xml:space="preserve"> </w:t>
      </w:r>
      <w:r>
        <w:rPr>
          <w:iCs/>
          <w:i/>
        </w:rPr>
        <w:t xml:space="preserve">“</w:t>
      </w:r>
      <w:r>
        <w:rPr>
          <w:iCs/>
          <w:i/>
        </w:rPr>
        <w:t xml:space="preserve">the</w:t>
      </w:r>
      <w:r>
        <w:rPr>
          <w:iCs/>
          <w:i/>
        </w:rPr>
        <w:t xml:space="preserve">”</w:t>
      </w:r>
      <w:r>
        <w:rPr>
          <w:iCs/>
          <w:i/>
        </w:rPr>
        <w:t xml:space="preserve"> </w:t>
      </w:r>
      <w:r>
        <w:rPr>
          <w:iCs/>
          <w:i/>
        </w:rPr>
        <w:t xml:space="preserve">Identifier</w:t>
      </w:r>
      <w:r>
        <w:t xml:space="preserve">: using Wikidata QID as global URI for identifying things</w:t>
      </w:r>
      <w:r>
        <w:t xml:space="preserve"> </w:t>
      </w:r>
      <w:r>
        <w:t xml:space="preserve">(Veen 2019)</w:t>
      </w:r>
      <w:r>
        <w:t xml:space="preserve"> </w:t>
      </w:r>
      <w:r>
        <w:t xml:space="preserve">.</w:t>
      </w:r>
    </w:p>
    <w:p>
      <w:pPr>
        <w:numPr>
          <w:ilvl w:val="0"/>
          <w:numId w:val="1002"/>
        </w:numPr>
      </w:pPr>
      <w:r>
        <w:rPr>
          <w:iCs/>
          <w:i/>
        </w:rPr>
        <w:t xml:space="preserve">Beyond VIAF: Wikidata as a Complementary Tool for Authority Control in Libraries</w:t>
      </w:r>
      <w:r>
        <w:t xml:space="preserve">: use of Wikidata for librarians -</w:t>
      </w:r>
      <w:r>
        <w:t xml:space="preserve"> </w:t>
      </w:r>
      <w:r>
        <w:t xml:space="preserve">(Bianchini, Bargioni, and Pellizzari di San Girolamo 2021)</w:t>
      </w:r>
    </w:p>
    <w:p>
      <w:pPr>
        <w:numPr>
          <w:ilvl w:val="0"/>
          <w:numId w:val="1002"/>
        </w:numPr>
      </w:pPr>
      <w:r>
        <w:rPr>
          <w:iCs/>
          <w:i/>
        </w:rPr>
        <w:t xml:space="preserve">Beyond the Fountain: Mapping a New Entry Point to the Society of Independent Artists</w:t>
      </w:r>
      <w:r>
        <w:t xml:space="preserve">: use of Wikidata for private collections and communities</w:t>
      </w:r>
      <w:r>
        <w:t xml:space="preserve"> </w:t>
      </w:r>
      <w:r>
        <w:t xml:space="preserve">(Siler 2022)</w:t>
      </w:r>
    </w:p>
    <w:p>
      <w:pPr>
        <w:numPr>
          <w:ilvl w:val="0"/>
          <w:numId w:val="1002"/>
        </w:numPr>
      </w:pPr>
      <w:r>
        <w:rPr>
          <w:iCs/>
          <w:i/>
        </w:rPr>
        <w:t xml:space="preserve">Bulgarian Icons in Wikidata and EDM</w:t>
      </w:r>
      <w:r>
        <w:t xml:space="preserve">: Reconciliation between Wikidata and the Europeana Data Model</w:t>
      </w:r>
      <w:r>
        <w:t xml:space="preserve"> </w:t>
      </w:r>
      <w:r>
        <w:t xml:space="preserve">(Alexiev et al. 2020)</w:t>
      </w:r>
    </w:p>
    <w:p>
      <w:pPr>
        <w:numPr>
          <w:ilvl w:val="0"/>
          <w:numId w:val="1002"/>
        </w:numPr>
      </w:pPr>
      <w:r>
        <w:rPr>
          <w:iCs/>
          <w:i/>
        </w:rPr>
        <w:t xml:space="preserve">Wikidata: a new perspective towards universal bibliographic control</w:t>
      </w:r>
      <w:r>
        <w:t xml:space="preserve"> </w:t>
      </w:r>
      <w:r>
        <w:t xml:space="preserve">(Sardo and Bianchini 2022)</w:t>
      </w:r>
      <w:r>
        <w:t xml:space="preserve">.</w:t>
      </w:r>
    </w:p>
    <w:p>
      <w:pPr>
        <w:numPr>
          <w:ilvl w:val="0"/>
          <w:numId w:val="1002"/>
        </w:numPr>
      </w:pPr>
      <w:r>
        <w:rPr>
          <w:iCs/>
          <w:i/>
        </w:rPr>
        <w:t xml:space="preserve">Wikidata and Wikibase as complementary research data management services for cultural heritage data</w:t>
      </w:r>
      <w:r>
        <w:t xml:space="preserve">: use in cultural heritage</w:t>
      </w:r>
      <w:r>
        <w:t xml:space="preserve"> </w:t>
      </w:r>
      <w:r>
        <w:t xml:space="preserve">(Rossenova, Duchesne, and Blümel 2022)</w:t>
      </w:r>
    </w:p>
    <w:p>
      <w:pPr>
        <w:numPr>
          <w:ilvl w:val="0"/>
          <w:numId w:val="1002"/>
        </w:numPr>
      </w:pPr>
      <w:r>
        <w:rPr>
          <w:iCs/>
          <w:i/>
        </w:rPr>
        <w:t xml:space="preserve">Wikidata for authority control: sharing museum knowledge with the world</w:t>
      </w:r>
      <w:r>
        <w:t xml:space="preserve">: the use of Wikidata in museums.</w:t>
      </w:r>
      <w:r>
        <w:t xml:space="preserve"> </w:t>
      </w:r>
      <w:r>
        <w:t xml:space="preserve">(Fagerving 2023)</w:t>
      </w:r>
    </w:p>
    <w:p>
      <w:pPr>
        <w:numPr>
          <w:ilvl w:val="0"/>
          <w:numId w:val="1002"/>
        </w:numPr>
      </w:pPr>
      <w:r>
        <w:rPr>
          <w:iCs/>
          <w:i/>
        </w:rPr>
        <w:t xml:space="preserve">Providing sustainable data services through Wikibase and Wikidata</w:t>
      </w:r>
      <w:r>
        <w:t xml:space="preserve">: use cases from Europe</w:t>
      </w:r>
      <w:r>
        <w:t xml:space="preserve"> </w:t>
      </w:r>
      <w:r>
        <w:t xml:space="preserve">(2020 2020)</w:t>
      </w:r>
    </w:p>
    <w:p>
      <w:pPr>
        <w:numPr>
          <w:ilvl w:val="0"/>
          <w:numId w:val="1002"/>
        </w:numPr>
      </w:pPr>
      <w:r>
        <w:rPr>
          <w:iCs/>
          <w:i/>
        </w:rPr>
        <w:t xml:space="preserve">Environmental impact assessment reports in Wikidata and a Wikibase</w:t>
      </w:r>
      <w:r>
        <w:t xml:space="preserve"> </w:t>
      </w:r>
      <w:r>
        <w:t xml:space="preserve">(Nielsen et al. 2023)</w:t>
      </w:r>
    </w:p>
    <w:bookmarkStart w:id="71" w:name="refs"/>
    <w:bookmarkStart w:id="55" w:name="ref-semic_2020_providing_2020"/>
    <w:p>
      <w:pPr>
        <w:pStyle w:val="Bibliography"/>
      </w:pPr>
      <w:r>
        <w:t xml:space="preserve">2020, SEMIC. 2020.</w:t>
      </w:r>
      <w:r>
        <w:t xml:space="preserve"> </w:t>
      </w:r>
      <w:r>
        <w:t xml:space="preserve">‘Providing Sustainable Data Services Through Wikibase and Wikidata’</w:t>
      </w:r>
      <w:r>
        <w:t xml:space="preserve">.</w:t>
      </w:r>
      <w:r>
        <w:t xml:space="preserve"> </w:t>
      </w:r>
      <w:hyperlink r:id="rId54">
        <w:r>
          <w:rPr>
            <w:rStyle w:val="Hyperlink"/>
          </w:rPr>
          <w:t xml:space="preserve">https://joinup.ec.europa.eu/sites/default/files/custom-page/attachment/2020-11/Parallel-track-4_B-Fischer_J-Thill_A-Angjeli%20final%20ppt.pdf</w:t>
        </w:r>
      </w:hyperlink>
      <w:r>
        <w:t xml:space="preserve">.</w:t>
      </w:r>
    </w:p>
    <w:bookmarkEnd w:id="55"/>
    <w:bookmarkStart w:id="57" w:name="ref-alexiev_bulgarian_2020"/>
    <w:p>
      <w:pPr>
        <w:pStyle w:val="Bibliography"/>
      </w:pPr>
      <w:r>
        <w:t xml:space="preserve">Alexiev, Vladimir, Plamen Tarkalanov, Nikola Georgiev, and Lilia Pavlova. 2020.</w:t>
      </w:r>
      <w:r>
        <w:t xml:space="preserve"> </w:t>
      </w:r>
      <w:r>
        <w:t xml:space="preserve">‘Bulgarian Icons in Wikidata and</w:t>
      </w:r>
      <w:r>
        <w:t xml:space="preserve"> </w:t>
      </w:r>
      <w:r>
        <w:t xml:space="preserve">EDM</w:t>
      </w:r>
      <w:r>
        <w:t xml:space="preserve">’</w:t>
      </w:r>
      <w:r>
        <w:t xml:space="preserve">.</w:t>
      </w:r>
      <w:r>
        <w:t xml:space="preserve"> </w:t>
      </w:r>
      <w:r>
        <w:rPr>
          <w:iCs/>
          <w:i/>
        </w:rPr>
        <w:t xml:space="preserve">Digital Presentation and Preservation of Cultural and Scientific Heritage</w:t>
      </w:r>
      <w:r>
        <w:t xml:space="preserve"> </w:t>
      </w:r>
      <w:r>
        <w:t xml:space="preserve">10: 45–63.</w:t>
      </w:r>
      <w:r>
        <w:t xml:space="preserve"> </w:t>
      </w:r>
      <w:hyperlink r:id="rId56">
        <w:r>
          <w:rPr>
            <w:rStyle w:val="Hyperlink"/>
          </w:rPr>
          <w:t xml:space="preserve">https://doi.org/10.55630/dipp.2020.10.2</w:t>
        </w:r>
      </w:hyperlink>
      <w:r>
        <w:t xml:space="preserve">.</w:t>
      </w:r>
    </w:p>
    <w:bookmarkEnd w:id="57"/>
    <w:bookmarkStart w:id="59" w:name="ref-bianchini_beyond_2021"/>
    <w:p>
      <w:pPr>
        <w:pStyle w:val="Bibliography"/>
      </w:pPr>
      <w:r>
        <w:t xml:space="preserve">Bianchini, Carlo, Stefano Bargioni, and Camillo Carlo Pellizzari di San Girolamo. 2021.</w:t>
      </w:r>
      <w:r>
        <w:t xml:space="preserve"> </w:t>
      </w:r>
      <w:r>
        <w:t xml:space="preserve">‘Beyond</w:t>
      </w:r>
      <w:r>
        <w:t xml:space="preserve"> </w:t>
      </w:r>
      <w:r>
        <w:t xml:space="preserve">VIAF</w:t>
      </w:r>
      <w:r>
        <w:t xml:space="preserve"> </w:t>
      </w:r>
      <w:r>
        <w:t xml:space="preserve">Wikidata as a Complementary Tool for Authority Control in Libraries’</w:t>
      </w:r>
      <w:r>
        <w:t xml:space="preserve">.</w:t>
      </w:r>
      <w:r>
        <w:t xml:space="preserve"> </w:t>
      </w:r>
      <w:r>
        <w:rPr>
          <w:iCs/>
          <w:i/>
        </w:rPr>
        <w:t xml:space="preserve">Information Technology and Libraries</w:t>
      </w:r>
      <w:r>
        <w:t xml:space="preserve"> </w:t>
      </w:r>
      <w:r>
        <w:t xml:space="preserve">40 (2).</w:t>
      </w:r>
      <w:r>
        <w:t xml:space="preserve"> </w:t>
      </w:r>
      <w:hyperlink r:id="rId58">
        <w:r>
          <w:rPr>
            <w:rStyle w:val="Hyperlink"/>
          </w:rPr>
          <w:t xml:space="preserve">https://doi.org/10.6017/ital.v40i2.12959</w:t>
        </w:r>
      </w:hyperlink>
      <w:r>
        <w:t xml:space="preserve">.</w:t>
      </w:r>
    </w:p>
    <w:bookmarkEnd w:id="59"/>
    <w:bookmarkStart w:id="61" w:name="ref-fagerving_wikidata_2023"/>
    <w:p>
      <w:pPr>
        <w:pStyle w:val="Bibliography"/>
      </w:pPr>
      <w:r>
        <w:t xml:space="preserve">Fagerving, Alicia. 2023.</w:t>
      </w:r>
      <w:r>
        <w:t xml:space="preserve"> </w:t>
      </w:r>
      <w:r>
        <w:t xml:space="preserve">‘Wikidata for Authority Control: Sharing Museum Knowledge with the World’</w:t>
      </w:r>
      <w:r>
        <w:t xml:space="preserve">.</w:t>
      </w:r>
      <w:r>
        <w:t xml:space="preserve"> </w:t>
      </w:r>
      <w:r>
        <w:rPr>
          <w:iCs/>
          <w:i/>
        </w:rPr>
        <w:t xml:space="preserve">Digital Humanities in the Nordic and Baltic Countries Publications</w:t>
      </w:r>
      <w:r>
        <w:t xml:space="preserve"> </w:t>
      </w:r>
      <w:r>
        <w:t xml:space="preserve">5 (1): 222–39.</w:t>
      </w:r>
      <w:r>
        <w:t xml:space="preserve"> </w:t>
      </w:r>
      <w:hyperlink r:id="rId60">
        <w:r>
          <w:rPr>
            <w:rStyle w:val="Hyperlink"/>
          </w:rPr>
          <w:t xml:space="preserve">https://doi.org/10.5617/dhnbpub.10665</w:t>
        </w:r>
      </w:hyperlink>
      <w:r>
        <w:t xml:space="preserve">.</w:t>
      </w:r>
    </w:p>
    <w:bookmarkEnd w:id="61"/>
    <w:bookmarkStart w:id="62" w:name="ref-nielsen_environmental_2023"/>
    <w:p>
      <w:pPr>
        <w:pStyle w:val="Bibliography"/>
      </w:pPr>
      <w:r>
        <w:t xml:space="preserve">Nielsen, Finn Årup, Ivar Lyhne, Darío Garigliotti, Annika Butzbach, Emilia Ravn Boess, Katja Hose, and Lone Kørnøv. 2023.</w:t>
      </w:r>
      <w:r>
        <w:t xml:space="preserve"> </w:t>
      </w:r>
      <w:r>
        <w:t xml:space="preserve">‘Environmental Impact Assessment Reports in Wikidata and a Wikibase: Semantic Technologies for Scientific, Technical and Legal Data 2023’</w:t>
      </w:r>
      <w:r>
        <w:t xml:space="preserve">.</w:t>
      </w:r>
      <w:r>
        <w:t xml:space="preserve"> </w:t>
      </w:r>
      <w:r>
        <w:rPr>
          <w:iCs/>
          <w:i/>
        </w:rPr>
        <w:t xml:space="preserve">Proceedings of the Semantic Technologies for Scientific, Technical and Legal Data 2023</w:t>
      </w:r>
      <w:r>
        <w:t xml:space="preserve">,</w:t>
      </w:r>
      <w:r>
        <w:t xml:space="preserve"> </w:t>
      </w:r>
      <w:r>
        <w:t xml:space="preserve">CEUR</w:t>
      </w:r>
      <w:r>
        <w:t xml:space="preserve"> </w:t>
      </w:r>
      <w:r>
        <w:t xml:space="preserve">workshop proceedings, 3443.</w:t>
      </w:r>
    </w:p>
    <w:bookmarkEnd w:id="62"/>
    <w:bookmarkStart w:id="64" w:name="ref-rossenova_wikidata_2022"/>
    <w:p>
      <w:pPr>
        <w:pStyle w:val="Bibliography"/>
      </w:pPr>
      <w:r>
        <w:t xml:space="preserve">Rossenova, Lozana, Paul Duchesne, and Ina Blümel. 2022.</w:t>
      </w:r>
      <w:r>
        <w:t xml:space="preserve"> </w:t>
      </w:r>
      <w:r>
        <w:t xml:space="preserve">‘Wikidata and Wikibase as Complementary Research Data Management Services for Cultural Heritage Data’</w:t>
      </w:r>
      <w:r>
        <w:t xml:space="preserve">. In</w:t>
      </w:r>
      <w:r>
        <w:t xml:space="preserve"> </w:t>
      </w:r>
      <w:r>
        <w:rPr>
          <w:iCs/>
          <w:i/>
        </w:rPr>
        <w:t xml:space="preserve">CEUR</w:t>
      </w:r>
      <w:r>
        <w:rPr>
          <w:iCs/>
          <w:i/>
        </w:rPr>
        <w:t xml:space="preserve"> </w:t>
      </w:r>
      <w:r>
        <w:rPr>
          <w:iCs/>
          <w:i/>
        </w:rPr>
        <w:t xml:space="preserve">Workshop Proceedings</w:t>
      </w:r>
      <w:r>
        <w:t xml:space="preserve">.</w:t>
      </w:r>
      <w:r>
        <w:t xml:space="preserve"> </w:t>
      </w:r>
      <w:hyperlink r:id="rId63">
        <w:r>
          <w:rPr>
            <w:rStyle w:val="Hyperlink"/>
          </w:rPr>
          <w:t xml:space="preserve">https://serwiss.bib.hs-hannover.de/frontdoor/deliver/index/docId/2573/file/rossenova_etal2022-wikidata_research_data_mgmt.pdf</w:t>
        </w:r>
      </w:hyperlink>
      <w:r>
        <w:t xml:space="preserve">.</w:t>
      </w:r>
    </w:p>
    <w:bookmarkEnd w:id="64"/>
    <w:bookmarkStart w:id="66" w:name="ref-sardo_wikidata_2022"/>
    <w:p>
      <w:pPr>
        <w:pStyle w:val="Bibliography"/>
      </w:pPr>
      <w:r>
        <w:t xml:space="preserve">Sardo, Lucia, and Carlo Bianchini. 2022.</w:t>
      </w:r>
      <w:r>
        <w:t xml:space="preserve"> </w:t>
      </w:r>
      <w:r>
        <w:t xml:space="preserve">‘Wikidata: A New Perspective Towards Universal Bibliographic Control’</w:t>
      </w:r>
      <w:r>
        <w:t xml:space="preserve">.</w:t>
      </w:r>
      <w:r>
        <w:t xml:space="preserve"> </w:t>
      </w:r>
      <w:r>
        <w:rPr>
          <w:iCs/>
          <w:i/>
        </w:rPr>
        <w:t xml:space="preserve">JLIS</w:t>
      </w:r>
      <w:r>
        <w:rPr>
          <w:iCs/>
          <w:i/>
        </w:rPr>
        <w:t xml:space="preserve">.it : Italian Journal of Library and Information Science</w:t>
      </w:r>
      <w:r>
        <w:t xml:space="preserve"> </w:t>
      </w:r>
      <w:r>
        <w:t xml:space="preserve">13 (1): 291–311.</w:t>
      </w:r>
      <w:r>
        <w:t xml:space="preserve"> </w:t>
      </w:r>
      <w:hyperlink r:id="rId65">
        <w:r>
          <w:rPr>
            <w:rStyle w:val="Hyperlink"/>
          </w:rPr>
          <w:t xml:space="preserve">https://doi.org/10.4403/jlis.it-12725</w:t>
        </w:r>
      </w:hyperlink>
      <w:r>
        <w:t xml:space="preserve">.</w:t>
      </w:r>
    </w:p>
    <w:bookmarkEnd w:id="66"/>
    <w:bookmarkStart w:id="68" w:name="ref-siler_beyond_2022"/>
    <w:p>
      <w:pPr>
        <w:pStyle w:val="Bibliography"/>
      </w:pPr>
      <w:r>
        <w:t xml:space="preserve">Siler, M. 2022.</w:t>
      </w:r>
      <w:r>
        <w:t xml:space="preserve"> </w:t>
      </w:r>
      <w:r>
        <w:t xml:space="preserve">‘Beyond the Fountain: Mapping a New Entry Point to the Society of Independent Artists’</w:t>
      </w:r>
      <w:r>
        <w:t xml:space="preserve">.</w:t>
      </w:r>
      <w:r>
        <w:t xml:space="preserve"> </w:t>
      </w:r>
      <w:r>
        <w:rPr>
          <w:iCs/>
          <w:i/>
        </w:rPr>
        <w:t xml:space="preserve">Art Documentation</w:t>
      </w:r>
      <w:r>
        <w:t xml:space="preserve"> </w:t>
      </w:r>
      <w:r>
        <w:t xml:space="preserve">41 (2): 219–41.</w:t>
      </w:r>
      <w:r>
        <w:t xml:space="preserve"> </w:t>
      </w:r>
      <w:hyperlink r:id="rId67">
        <w:r>
          <w:rPr>
            <w:rStyle w:val="Hyperlink"/>
          </w:rPr>
          <w:t xml:space="preserve">https://doi.org/10.1086/722172</w:t>
        </w:r>
      </w:hyperlink>
      <w:r>
        <w:t xml:space="preserve">.</w:t>
      </w:r>
    </w:p>
    <w:bookmarkEnd w:id="68"/>
    <w:bookmarkStart w:id="70" w:name="ref-van_veen_wikidata_2019"/>
    <w:p>
      <w:pPr>
        <w:pStyle w:val="Bibliography"/>
      </w:pPr>
      <w:r>
        <w:t xml:space="preserve">Veen, Theo van. 2019.</w:t>
      </w:r>
      <w:r>
        <w:t xml:space="preserve"> </w:t>
      </w:r>
      <w:r>
        <w:t xml:space="preserve">‘Wikidata: From</w:t>
      </w:r>
      <w:r>
        <w:t xml:space="preserve"> </w:t>
      </w:r>
      <w:r>
        <w:t xml:space="preserve">“an”</w:t>
      </w:r>
      <w:r>
        <w:t xml:space="preserve"> </w:t>
      </w:r>
      <w:r>
        <w:t xml:space="preserve">Identifier to</w:t>
      </w:r>
      <w:r>
        <w:t xml:space="preserve"> </w:t>
      </w:r>
      <w:r>
        <w:t xml:space="preserve">“the”</w:t>
      </w:r>
      <w:r>
        <w:t xml:space="preserve"> </w:t>
      </w:r>
      <w:r>
        <w:t xml:space="preserve">Identifier’</w:t>
      </w:r>
      <w:r>
        <w:t xml:space="preserve">.</w:t>
      </w:r>
      <w:r>
        <w:t xml:space="preserve"> </w:t>
      </w:r>
      <w:r>
        <w:rPr>
          <w:iCs/>
          <w:i/>
        </w:rPr>
        <w:t xml:space="preserve">Information Technology and Libraries</w:t>
      </w:r>
      <w:r>
        <w:t xml:space="preserve"> </w:t>
      </w:r>
      <w:r>
        <w:t xml:space="preserve">38 (2): 72–81.</w:t>
      </w:r>
      <w:r>
        <w:t xml:space="preserve"> </w:t>
      </w:r>
      <w:hyperlink r:id="rId69">
        <w:r>
          <w:rPr>
            <w:rStyle w:val="Hyperlink"/>
          </w:rPr>
          <w:t xml:space="preserve">https://doi.org/10.6017/ital.v38i2.10886</w:t>
        </w:r>
      </w:hyperlink>
      <w:r>
        <w:t xml:space="preserve">.</w:t>
      </w:r>
    </w:p>
    <w:bookmarkEnd w:id="70"/>
    <w:bookmarkEnd w:id="71"/>
    <w:bookmarkEnd w:id="72"/>
    <w:sectPr w:rsidR="0046252F">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Roboto Black">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0000A990"/>
    <w:multiLevelType w:val="multilevel"/>
    <w:tmpl w:val="70B8C63C"/>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15:restartNumberingAfterBreak="0" w:abstractNumId="1">
    <w:nsid w:val="0000A991"/>
    <w:multiLevelType w:val="multilevel"/>
    <w:tmpl w:val="A31A8998"/>
    <w:lvl w:ilvl="0">
      <w:numFmt w:val="bullet"/>
      <w:lvlText w:val="•"/>
      <w:lvlJc w:val="left"/>
      <w:pPr>
        <w:ind w:hanging="480" w:left="720"/>
      </w:pPr>
    </w:lvl>
    <w:lvl w:ilvl="1">
      <w:numFmt w:val="bullet"/>
      <w:lvlText w:val="–"/>
      <w:lvlJc w:val="left"/>
      <w:pPr>
        <w:ind w:hanging="480" w:left="1440"/>
      </w:pPr>
    </w:lvl>
    <w:lvl w:ilvl="2">
      <w:numFmt w:val="bullet"/>
      <w:lvlText w:val="•"/>
      <w:lvlJc w:val="left"/>
      <w:pPr>
        <w:ind w:hanging="480" w:left="2160"/>
      </w:pPr>
    </w:lvl>
    <w:lvl w:ilvl="3">
      <w:numFmt w:val="bullet"/>
      <w:lvlText w:val="–"/>
      <w:lvlJc w:val="left"/>
      <w:pPr>
        <w:ind w:hanging="480" w:left="2880"/>
      </w:pPr>
    </w:lvl>
    <w:lvl w:ilvl="4">
      <w:numFmt w:val="bullet"/>
      <w:lvlText w:val="•"/>
      <w:lvlJc w:val="left"/>
      <w:pPr>
        <w:ind w:hanging="480" w:left="3600"/>
      </w:pPr>
    </w:lvl>
    <w:lvl w:ilvl="5">
      <w:numFmt w:val="bullet"/>
      <w:lvlText w:val="–"/>
      <w:lvlJc w:val="left"/>
      <w:pPr>
        <w:ind w:hanging="480" w:left="4320"/>
      </w:pPr>
    </w:lvl>
    <w:lvl w:ilvl="6">
      <w:numFmt w:val="bullet"/>
      <w:lvlText w:val="•"/>
      <w:lvlJc w:val="left"/>
      <w:pPr>
        <w:ind w:hanging="480" w:left="5040"/>
      </w:pPr>
    </w:lvl>
    <w:lvl w:ilvl="7">
      <w:numFmt w:val="bullet"/>
      <w:lvlText w:val="–"/>
      <w:lvlJc w:val="left"/>
      <w:pPr>
        <w:ind w:hanging="480" w:left="5760"/>
      </w:pPr>
    </w:lvl>
    <w:lvl w:ilvl="8">
      <w:numFmt w:val="bullet"/>
      <w:lvlText w:val="•"/>
      <w:lvlJc w:val="left"/>
      <w:pPr>
        <w:ind w:hanging="480" w:left="6480"/>
      </w:p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16cid:durableId="531264319" w:numId="1">
    <w:abstractNumId w:val="0"/>
  </w:num>
  <w:num w16cid:durableId="1996715015" w:numId="2">
    <w:abstractNumId w:val="1"/>
  </w: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doNotTrackMoves/>
  <w:savePreviewPicture/>
  <w:rsids>
  </w:rsids>
  <w:clrSchemeMapping w:accent1="accent1" w:accent2="accent2" w:accent3="accent3" w:accent4="accent4" w:accent5="accent5" w:accent6="accent6" w:bg1="light1" w:bg2="light2" w:followedHyperlink="followedHyperlink" w:hyperlink="hyperlink" w:t1="dark1" w:t2="dark2"/>
  <w:zoom w:percent="109"/>
  <w:embedSystemFonts/>
  <w:proofState w:grammar="clean" w:spelling="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Right/>
    <m:intLim m:val="subSup"/>
    <m:naryLim m:val="undOvr"/>
  </m:mathPr>
  <w:themeFontLang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en-GB"/>
      </w:rPr>
    </w:rPrDefault>
    <w:pPrDefault>
      <w:pPr>
        <w:spacing w:after="200"/>
      </w:pPr>
    </w:pPrDefault>
  </w:docDefaults>
  <w:latentStyles w:count="376" w:defLockedState="0" w:defQFormat="0" w:defSemiHidden="0" w:defUIPriority="0" w:defUnhideWhenUsed="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uiPriority w:val="9"/>
    <w:qFormat/>
    <w:rsid w:val="00552478"/>
    <w:pPr>
      <w:keepNext/>
      <w:keepLines/>
      <w:spacing w:after="0" w:before="480"/>
      <w:outlineLvl w:val="0"/>
    </w:pPr>
    <w:rPr>
      <w:rFonts w:ascii="Roboto Black" w:cstheme="majorBidi" w:eastAsiaTheme="majorEastAsia" w:hAnsi="Roboto Black"/>
      <w:b/>
      <w:bCs/>
      <w:color w:val="E88500"/>
      <w:sz w:val="32"/>
      <w:szCs w:val="32"/>
    </w:rPr>
  </w:style>
  <w:style w:styleId="Heading2" w:type="paragraph">
    <w:name w:val="heading 2"/>
    <w:basedOn w:val="Normal"/>
    <w:next w:val="BodyText"/>
    <w:uiPriority w:val="9"/>
    <w:unhideWhenUsed/>
    <w:qFormat/>
    <w:rsid w:val="00552478"/>
    <w:pPr>
      <w:keepNext/>
      <w:keepLines/>
      <w:spacing w:after="0" w:before="200"/>
      <w:outlineLvl w:val="1"/>
    </w:pPr>
    <w:rPr>
      <w:rFonts w:ascii="Roboto Black" w:cstheme="majorBidi" w:eastAsiaTheme="majorEastAsia" w:hAnsi="Roboto Black"/>
      <w:b/>
      <w:bCs/>
      <w:color w:val="E88500"/>
      <w:sz w:val="28"/>
      <w:szCs w:val="28"/>
    </w:rPr>
  </w:style>
  <w:style w:styleId="Heading3" w:type="paragraph">
    <w:name w:val="heading 3"/>
    <w:basedOn w:val="Normal"/>
    <w:next w:val="BodyText"/>
    <w:uiPriority w:val="9"/>
    <w:unhideWhenUsed/>
    <w:qFormat/>
    <w:rsid w:val="00552478"/>
    <w:pPr>
      <w:keepNext/>
      <w:keepLines/>
      <w:spacing w:after="0" w:before="200"/>
      <w:outlineLvl w:val="2"/>
    </w:pPr>
    <w:rPr>
      <w:rFonts w:asciiTheme="majorHAnsi" w:cstheme="majorBidi" w:eastAsiaTheme="majorEastAsia" w:hAnsiTheme="majorHAnsi"/>
      <w:b/>
      <w:bCs/>
      <w:color w:val="E88500"/>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Cs/>
      <w:i/>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rsid w:val="00552478"/>
    <w:pPr>
      <w:keepNext/>
      <w:keepLines/>
      <w:spacing w:after="240" w:before="480"/>
      <w:jc w:val="center"/>
    </w:pPr>
    <w:rPr>
      <w:rFonts w:ascii="Roboto Black" w:cstheme="majorBidi" w:eastAsiaTheme="majorEastAsia" w:hAnsi="Roboto Black"/>
      <w:b/>
      <w:bCs/>
      <w:color w:val="E88500"/>
      <w:sz w:val="40"/>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hAnsiTheme="majorHAnsi"/>
      <w:b w:val="0"/>
      <w:bCs w:val="0"/>
      <w:color w:themeColor="accent1" w:themeShade="BF" w:val="365F91"/>
    </w:rPr>
  </w:style>
  <w:style w:customStyle="1" w:styleId="SourceCode" w:type="paragraph">
    <w:name w:val="Source Code"/>
    <w:basedOn w:val="Normal"/>
    <w:link w:val="VerbatimChar"/>
    <w:pPr>
      <w:shd w:color="auto" w:fill="F1F3F5" w:val="clear"/>
      <w:wordWrap w:val="0"/>
    </w:pPr>
  </w:style>
  <w:style w:customStyle="1" w:styleId="KeywordTok" w:type="character">
    <w:name w:val="KeywordTok"/>
    <w:basedOn w:val="VerbatimChar"/>
    <w:rPr>
      <w:rFonts w:ascii="Consolas" w:hAnsi="Consolas"/>
      <w:color w:val="003B4F"/>
      <w:sz w:val="22"/>
      <w:shd w:color="auto" w:fill="F1F3F5" w:val="clear"/>
    </w:rPr>
  </w:style>
  <w:style w:customStyle="1" w:styleId="DataTypeTok" w:type="character">
    <w:name w:val="DataTypeTok"/>
    <w:basedOn w:val="VerbatimChar"/>
    <w:rPr>
      <w:rFonts w:ascii="Consolas" w:hAnsi="Consolas"/>
      <w:color w:val="AD0000"/>
      <w:sz w:val="22"/>
      <w:shd w:color="auto" w:fill="F1F3F5" w:val="clear"/>
    </w:rPr>
  </w:style>
  <w:style w:customStyle="1" w:styleId="DecValTok" w:type="character">
    <w:name w:val="DecValTok"/>
    <w:basedOn w:val="VerbatimChar"/>
    <w:rPr>
      <w:rFonts w:ascii="Consolas" w:hAnsi="Consolas"/>
      <w:color w:val="AD0000"/>
      <w:sz w:val="22"/>
      <w:shd w:color="auto" w:fill="F1F3F5" w:val="clear"/>
    </w:rPr>
  </w:style>
  <w:style w:customStyle="1" w:styleId="BaseNTok" w:type="character">
    <w:name w:val="BaseNTok"/>
    <w:basedOn w:val="VerbatimChar"/>
    <w:rPr>
      <w:rFonts w:ascii="Consolas" w:hAnsi="Consolas"/>
      <w:color w:val="AD0000"/>
      <w:sz w:val="22"/>
      <w:shd w:color="auto" w:fill="F1F3F5" w:val="clear"/>
    </w:rPr>
  </w:style>
  <w:style w:customStyle="1" w:styleId="FloatTok" w:type="character">
    <w:name w:val="FloatTok"/>
    <w:basedOn w:val="VerbatimChar"/>
    <w:rPr>
      <w:rFonts w:ascii="Consolas" w:hAnsi="Consolas"/>
      <w:color w:val="AD0000"/>
      <w:sz w:val="22"/>
      <w:shd w:color="auto" w:fill="F1F3F5" w:val="clear"/>
    </w:rPr>
  </w:style>
  <w:style w:customStyle="1" w:styleId="ConstantTok" w:type="character">
    <w:name w:val="ConstantTok"/>
    <w:basedOn w:val="VerbatimChar"/>
    <w:rPr>
      <w:rFonts w:ascii="Consolas" w:hAnsi="Consolas"/>
      <w:color w:val="8F5902"/>
      <w:sz w:val="22"/>
      <w:shd w:color="auto" w:fill="F1F3F5" w:val="clear"/>
    </w:rPr>
  </w:style>
  <w:style w:customStyle="1" w:styleId="CharTok" w:type="character">
    <w:name w:val="CharTok"/>
    <w:basedOn w:val="VerbatimChar"/>
    <w:rPr>
      <w:rFonts w:ascii="Consolas" w:hAnsi="Consolas"/>
      <w:color w:val="20794D"/>
      <w:sz w:val="22"/>
      <w:shd w:color="auto" w:fill="F1F3F5" w:val="clear"/>
    </w:rPr>
  </w:style>
  <w:style w:customStyle="1" w:styleId="SpecialCharTok" w:type="character">
    <w:name w:val="SpecialCharTok"/>
    <w:basedOn w:val="VerbatimChar"/>
    <w:rPr>
      <w:rFonts w:ascii="Consolas" w:hAnsi="Consolas"/>
      <w:color w:val="5E5E5E"/>
      <w:sz w:val="22"/>
      <w:shd w:color="auto" w:fill="F1F3F5" w:val="clear"/>
    </w:rPr>
  </w:style>
  <w:style w:customStyle="1" w:styleId="StringTok" w:type="character">
    <w:name w:val="StringTok"/>
    <w:basedOn w:val="VerbatimChar"/>
    <w:rPr>
      <w:rFonts w:ascii="Consolas" w:hAnsi="Consolas"/>
      <w:color w:val="20794D"/>
      <w:sz w:val="22"/>
      <w:shd w:color="auto" w:fill="F1F3F5" w:val="clear"/>
    </w:rPr>
  </w:style>
  <w:style w:customStyle="1" w:styleId="VerbatimStringTok" w:type="character">
    <w:name w:val="VerbatimStringTok"/>
    <w:basedOn w:val="VerbatimChar"/>
    <w:rPr>
      <w:rFonts w:ascii="Consolas" w:hAnsi="Consolas"/>
      <w:color w:val="20794D"/>
      <w:sz w:val="22"/>
      <w:shd w:color="auto" w:fill="F1F3F5" w:val="clear"/>
    </w:rPr>
  </w:style>
  <w:style w:customStyle="1" w:styleId="SpecialStringTok" w:type="character">
    <w:name w:val="SpecialStringTok"/>
    <w:basedOn w:val="VerbatimChar"/>
    <w:rPr>
      <w:rFonts w:ascii="Consolas" w:hAnsi="Consolas"/>
      <w:color w:val="20794D"/>
      <w:sz w:val="22"/>
      <w:shd w:color="auto" w:fill="F1F3F5" w:val="clear"/>
    </w:rPr>
  </w:style>
  <w:style w:customStyle="1" w:styleId="ImportTok" w:type="character">
    <w:name w:val="ImportTok"/>
    <w:basedOn w:val="VerbatimChar"/>
    <w:rPr>
      <w:rFonts w:ascii="Consolas" w:hAnsi="Consolas"/>
      <w:color w:val="00769E"/>
      <w:sz w:val="22"/>
      <w:shd w:color="auto" w:fill="F1F3F5" w:val="clear"/>
    </w:rPr>
  </w:style>
  <w:style w:customStyle="1" w:styleId="CommentTok" w:type="character">
    <w:name w:val="CommentTok"/>
    <w:basedOn w:val="VerbatimChar"/>
    <w:rPr>
      <w:rFonts w:ascii="Consolas" w:hAnsi="Consolas"/>
      <w:color w:val="5E5E5E"/>
      <w:sz w:val="22"/>
      <w:shd w:color="auto" w:fill="F1F3F5" w:val="clear"/>
    </w:rPr>
  </w:style>
  <w:style w:customStyle="1" w:styleId="DocumentationTok" w:type="character">
    <w:name w:val="DocumentationTok"/>
    <w:basedOn w:val="VerbatimChar"/>
    <w:rPr>
      <w:rFonts w:ascii="Consolas" w:hAnsi="Consolas"/>
      <w:i/>
      <w:color w:val="5E5E5E"/>
      <w:sz w:val="22"/>
      <w:shd w:color="auto" w:fill="F1F3F5" w:val="clear"/>
    </w:rPr>
  </w:style>
  <w:style w:customStyle="1" w:styleId="AnnotationTok" w:type="character">
    <w:name w:val="AnnotationTok"/>
    <w:basedOn w:val="VerbatimChar"/>
    <w:rPr>
      <w:rFonts w:ascii="Consolas" w:hAnsi="Consolas"/>
      <w:color w:val="5E5E5E"/>
      <w:sz w:val="22"/>
      <w:shd w:color="auto" w:fill="F1F3F5" w:val="clear"/>
    </w:rPr>
  </w:style>
  <w:style w:customStyle="1" w:styleId="CommentVarTok" w:type="character">
    <w:name w:val="CommentVarTok"/>
    <w:basedOn w:val="VerbatimChar"/>
    <w:rPr>
      <w:rFonts w:ascii="Consolas" w:hAnsi="Consolas"/>
      <w:i/>
      <w:color w:val="5E5E5E"/>
      <w:sz w:val="22"/>
      <w:shd w:color="auto" w:fill="F1F3F5" w:val="clear"/>
    </w:rPr>
  </w:style>
  <w:style w:customStyle="1" w:styleId="OtherTok" w:type="character">
    <w:name w:val="OtherTok"/>
    <w:basedOn w:val="VerbatimChar"/>
    <w:rPr>
      <w:rFonts w:ascii="Consolas" w:hAnsi="Consolas"/>
      <w:color w:val="003B4F"/>
      <w:sz w:val="22"/>
      <w:shd w:color="auto" w:fill="F1F3F5" w:val="clear"/>
    </w:rPr>
  </w:style>
  <w:style w:customStyle="1" w:styleId="FunctionTok" w:type="character">
    <w:name w:val="FunctionTok"/>
    <w:basedOn w:val="VerbatimChar"/>
    <w:rPr>
      <w:rFonts w:ascii="Consolas" w:hAnsi="Consolas"/>
      <w:color w:val="4758AB"/>
      <w:sz w:val="22"/>
      <w:shd w:color="auto" w:fill="F1F3F5" w:val="clear"/>
    </w:rPr>
  </w:style>
  <w:style w:customStyle="1" w:styleId="VariableTok" w:type="character">
    <w:name w:val="VariableTok"/>
    <w:basedOn w:val="VerbatimChar"/>
    <w:rPr>
      <w:rFonts w:ascii="Consolas" w:hAnsi="Consolas"/>
      <w:color w:val="111111"/>
      <w:sz w:val="22"/>
      <w:shd w:color="auto" w:fill="F1F3F5" w:val="clear"/>
    </w:rPr>
  </w:style>
  <w:style w:customStyle="1" w:styleId="ControlFlowTok" w:type="character">
    <w:name w:val="ControlFlowTok"/>
    <w:basedOn w:val="VerbatimChar"/>
    <w:rPr>
      <w:rFonts w:ascii="Consolas" w:hAnsi="Consolas"/>
      <w:color w:val="003B4F"/>
      <w:sz w:val="22"/>
      <w:shd w:color="auto" w:fill="F1F3F5" w:val="clear"/>
    </w:rPr>
  </w:style>
  <w:style w:customStyle="1" w:styleId="OperatorTok" w:type="character">
    <w:name w:val="OperatorTok"/>
    <w:basedOn w:val="VerbatimChar"/>
    <w:rPr>
      <w:rFonts w:ascii="Consolas" w:hAnsi="Consolas"/>
      <w:color w:val="5E5E5E"/>
      <w:sz w:val="22"/>
      <w:shd w:color="auto" w:fill="F1F3F5" w:val="clear"/>
    </w:rPr>
  </w:style>
  <w:style w:customStyle="1" w:styleId="BuiltInTok" w:type="character">
    <w:name w:val="BuiltInTok"/>
    <w:basedOn w:val="VerbatimChar"/>
    <w:rPr>
      <w:rFonts w:ascii="Consolas" w:hAnsi="Consolas"/>
      <w:color w:val="003B4F"/>
      <w:sz w:val="22"/>
      <w:shd w:color="auto" w:fill="F1F3F5" w:val="clear"/>
    </w:rPr>
  </w:style>
  <w:style w:customStyle="1" w:styleId="ExtensionTok" w:type="character">
    <w:name w:val="ExtensionTok"/>
    <w:basedOn w:val="VerbatimChar"/>
    <w:rPr>
      <w:rFonts w:ascii="Consolas" w:hAnsi="Consolas"/>
      <w:color w:val="003B4F"/>
      <w:sz w:val="22"/>
      <w:shd w:color="auto" w:fill="F1F3F5" w:val="clear"/>
    </w:rPr>
  </w:style>
  <w:style w:customStyle="1" w:styleId="PreprocessorTok" w:type="character">
    <w:name w:val="PreprocessorTok"/>
    <w:basedOn w:val="VerbatimChar"/>
    <w:rPr>
      <w:rFonts w:ascii="Consolas" w:hAnsi="Consolas"/>
      <w:color w:val="AD0000"/>
      <w:sz w:val="22"/>
      <w:shd w:color="auto" w:fill="F1F3F5" w:val="clear"/>
    </w:rPr>
  </w:style>
  <w:style w:customStyle="1" w:styleId="AttributeTok" w:type="character">
    <w:name w:val="AttributeTok"/>
    <w:basedOn w:val="VerbatimChar"/>
    <w:rPr>
      <w:rFonts w:ascii="Consolas" w:hAnsi="Consolas"/>
      <w:color w:val="657422"/>
      <w:sz w:val="22"/>
      <w:shd w:color="auto" w:fill="F1F3F5" w:val="clear"/>
    </w:rPr>
  </w:style>
  <w:style w:customStyle="1" w:styleId="RegionMarkerTok" w:type="character">
    <w:name w:val="RegionMarkerTok"/>
    <w:basedOn w:val="VerbatimChar"/>
    <w:rPr>
      <w:rFonts w:ascii="Consolas" w:hAnsi="Consolas"/>
      <w:color w:val="003B4F"/>
      <w:sz w:val="22"/>
      <w:shd w:color="auto" w:fill="F1F3F5" w:val="clear"/>
    </w:rPr>
  </w:style>
  <w:style w:customStyle="1" w:styleId="InformationTok" w:type="character">
    <w:name w:val="InformationTok"/>
    <w:basedOn w:val="VerbatimChar"/>
    <w:rPr>
      <w:rFonts w:ascii="Consolas" w:hAnsi="Consolas"/>
      <w:color w:val="5E5E5E"/>
      <w:sz w:val="22"/>
      <w:shd w:color="auto" w:fill="F1F3F5" w:val="clear"/>
    </w:rPr>
  </w:style>
  <w:style w:customStyle="1" w:styleId="WarningTok" w:type="character">
    <w:name w:val="WarningTok"/>
    <w:basedOn w:val="VerbatimChar"/>
    <w:rPr>
      <w:rFonts w:ascii="Consolas" w:hAnsi="Consolas"/>
      <w:i/>
      <w:color w:val="5E5E5E"/>
      <w:sz w:val="22"/>
      <w:shd w:color="auto" w:fill="F1F3F5" w:val="clear"/>
    </w:rPr>
  </w:style>
  <w:style w:customStyle="1" w:styleId="AlertTok" w:type="character">
    <w:name w:val="AlertTok"/>
    <w:basedOn w:val="VerbatimChar"/>
    <w:rPr>
      <w:rFonts w:ascii="Consolas" w:hAnsi="Consolas"/>
      <w:color w:val="AD0000"/>
      <w:sz w:val="22"/>
      <w:shd w:color="auto" w:fill="F1F3F5" w:val="clear"/>
    </w:rPr>
  </w:style>
  <w:style w:customStyle="1" w:styleId="ErrorTok" w:type="character">
    <w:name w:val="ErrorTok"/>
    <w:basedOn w:val="VerbatimChar"/>
    <w:rPr>
      <w:rFonts w:ascii="Consolas" w:hAnsi="Consolas"/>
      <w:color w:val="AD0000"/>
      <w:sz w:val="22"/>
      <w:shd w:color="auto" w:fill="F1F3F5" w:val="clear"/>
    </w:rPr>
  </w:style>
  <w:style w:customStyle="1" w:styleId="NormalTok" w:type="character">
    <w:name w:val="NormalTok"/>
    <w:basedOn w:val="VerbatimChar"/>
    <w:rPr>
      <w:rFonts w:ascii="Consolas" w:hAnsi="Consolas"/>
      <w:color w:val="003B4F"/>
      <w:sz w:val="22"/>
      <w:shd w:color="auto" w:fill="F1F3F5" w:val="cle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5" Target="media/rId25.png" /><Relationship Type="http://schemas.openxmlformats.org/officeDocument/2006/relationships/image" Id="rId28" Target="media/rId28.png" /><Relationship Type="http://schemas.openxmlformats.org/officeDocument/2006/relationships/image" Id="rId21" Target="media/rId21.png" /><Relationship Type="http://schemas.openxmlformats.org/officeDocument/2006/relationships/image" Id="rId49" Target="media/rId49.png" /><Relationship Type="http://schemas.openxmlformats.org/officeDocument/2006/relationships/image" Id="rId35" Target="media/rId35.png"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45" Target="media/rId45.png" /><Relationship Type="http://schemas.openxmlformats.org/officeDocument/2006/relationships/hyperlink" Id="rId67" Target="https://doi.org/10.1086/722172" TargetMode="External" /><Relationship Type="http://schemas.openxmlformats.org/officeDocument/2006/relationships/hyperlink" Id="rId65" Target="https://doi.org/10.4403/jlis.it-12725" TargetMode="External" /><Relationship Type="http://schemas.openxmlformats.org/officeDocument/2006/relationships/hyperlink" Id="rId56" Target="https://doi.org/10.55630/dipp.2020.10.2" TargetMode="External" /><Relationship Type="http://schemas.openxmlformats.org/officeDocument/2006/relationships/hyperlink" Id="rId60" Target="https://doi.org/10.5617/dhnbpub.10665" TargetMode="External" /><Relationship Type="http://schemas.openxmlformats.org/officeDocument/2006/relationships/hyperlink" Id="rId69" Target="https://doi.org/10.6017/ital.v38i2.10886" TargetMode="External" /><Relationship Type="http://schemas.openxmlformats.org/officeDocument/2006/relationships/hyperlink" Id="rId58" Target="https://doi.org/10.6017/ital.v40i2.12959" TargetMode="External" /><Relationship Type="http://schemas.openxmlformats.org/officeDocument/2006/relationships/hyperlink" Id="rId54" Target="https://joinup.ec.europa.eu/sites/default/files/custom-page/attachment/2020-11/Parallel-track-4_B-Fischer_J-Thill_A-Angjeli%20final%20ppt.pdf" TargetMode="External" /><Relationship Type="http://schemas.openxmlformats.org/officeDocument/2006/relationships/hyperlink" Id="rId53" Target="https://raw.githubusercontent.com/dataobservatory-eu/opencollections-tutorials/main/bib/wikidata.bib" TargetMode="External" /><Relationship Type="http://schemas.openxmlformats.org/officeDocument/2006/relationships/hyperlink" Id="rId63" Target="https://serwiss.bib.hs-hannover.de/frontdoor/deliver/index/docId/2573/file/rossenova_etal2022-wikidata_research_data_mgmt.pdf" TargetMode="External" /><Relationship Type="http://schemas.openxmlformats.org/officeDocument/2006/relationships/hyperlink" Id="rId24" Target="https://www.wikidata.org/w/index.php?title=Wikidata:Sandbox&amp;veaction=edit" TargetMode="External" /><Relationship Type="http://schemas.openxmlformats.org/officeDocument/2006/relationships/hyperlink" Id="rId33" Target="https://www.wikidata.org/wiki/Q124423018" TargetMode="External" /><Relationship Type="http://schemas.openxmlformats.org/officeDocument/2006/relationships/hyperlink" Id="rId44" Target="https://www.wikidata.org/wiki/Q18816" TargetMode="External" /></Relationships>
</file>

<file path=word/_rels/footnotes.xml.rels><?xml version="1.0" encoding="UTF-8"?><Relationships xmlns="http://schemas.openxmlformats.org/package/2006/relationships"><Relationship Type="http://schemas.openxmlformats.org/officeDocument/2006/relationships/hyperlink" Id="rId67" Target="https://doi.org/10.1086/722172" TargetMode="External" /><Relationship Type="http://schemas.openxmlformats.org/officeDocument/2006/relationships/hyperlink" Id="rId65" Target="https://doi.org/10.4403/jlis.it-12725" TargetMode="External" /><Relationship Type="http://schemas.openxmlformats.org/officeDocument/2006/relationships/hyperlink" Id="rId56" Target="https://doi.org/10.55630/dipp.2020.10.2" TargetMode="External" /><Relationship Type="http://schemas.openxmlformats.org/officeDocument/2006/relationships/hyperlink" Id="rId60" Target="https://doi.org/10.5617/dhnbpub.10665" TargetMode="External" /><Relationship Type="http://schemas.openxmlformats.org/officeDocument/2006/relationships/hyperlink" Id="rId69" Target="https://doi.org/10.6017/ital.v38i2.10886" TargetMode="External" /><Relationship Type="http://schemas.openxmlformats.org/officeDocument/2006/relationships/hyperlink" Id="rId58" Target="https://doi.org/10.6017/ital.v40i2.12959" TargetMode="External" /><Relationship Type="http://schemas.openxmlformats.org/officeDocument/2006/relationships/hyperlink" Id="rId54" Target="https://joinup.ec.europa.eu/sites/default/files/custom-page/attachment/2020-11/Parallel-track-4_B-Fischer_J-Thill_A-Angjeli%20final%20ppt.pdf" TargetMode="External" /><Relationship Type="http://schemas.openxmlformats.org/officeDocument/2006/relationships/hyperlink" Id="rId53" Target="https://raw.githubusercontent.com/dataobservatory-eu/opencollections-tutorials/main/bib/wikidata.bib" TargetMode="External" /><Relationship Type="http://schemas.openxmlformats.org/officeDocument/2006/relationships/hyperlink" Id="rId63" Target="https://serwiss.bib.hs-hannover.de/frontdoor/deliver/index/docId/2573/file/rossenova_etal2022-wikidata_research_data_mgmt.pdf" TargetMode="External" /><Relationship Type="http://schemas.openxmlformats.org/officeDocument/2006/relationships/hyperlink" Id="rId24" Target="https://www.wikidata.org/w/index.php?title=Wikidata:Sandbox&amp;veaction=edit" TargetMode="External" /><Relationship Type="http://schemas.openxmlformats.org/officeDocument/2006/relationships/hyperlink" Id="rId33" Target="https://www.wikidata.org/wiki/Q124423018" TargetMode="External" /><Relationship Type="http://schemas.openxmlformats.org/officeDocument/2006/relationships/hyperlink" Id="rId44" Target="https://www.wikidata.org/wiki/Q1881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591</Words>
  <Characters>3373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Tutorial: Using Wikidata and Wikimedia Commons for Global Identification</vt:lpstr>
    </vt:vector>
  </TitlesOfParts>
  <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Wikidata</dc:title>
  <dc:creator>Daniel Antal</dc:creator>
  <dc:language>en-GB</dc:language>
  <dc:subject>Wikidata</dc:subject>
  <cp:keywords>Wikidata, Wikimedia Commons, QID</cp:keywords>
  <dcterms:created xsi:type="dcterms:W3CDTF">2024-02-11T14:37:08Z</dcterms:created>
  <dcterms:modified xsi:type="dcterms:W3CDTF">2024-02-11T14:37:08Z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
  </property>
  <property fmtid="{D5CDD505-2E9C-101B-9397-08002B2CF9AE}" pid="6" name="by-affiliation">
    <vt:lpwstr/>
  </property>
  <property fmtid="{D5CDD505-2E9C-101B-9397-08002B2CF9AE}" pid="7" name="by-author">
    <vt:lpwstr/>
  </property>
  <property fmtid="{D5CDD505-2E9C-101B-9397-08002B2CF9AE}" pid="8" name="date">
    <vt:lpwstr>2024-02-11</vt:lpwstr>
  </property>
  <property fmtid="{D5CDD505-2E9C-101B-9397-08002B2CF9AE}" pid="9" name="editor">
    <vt:lpwstr>visual</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papersize">
    <vt:lpwstr>A4</vt:lpwstr>
  </property>
  <property fmtid="{D5CDD505-2E9C-101B-9397-08002B2CF9AE}" pid="15" name="subtitle">
    <vt:lpwstr>Tutorial: Using Wikidata and Wikimedia Commons for Global Identification</vt:lpwstr>
  </property>
  <property fmtid="{D5CDD505-2E9C-101B-9397-08002B2CF9AE}" pid="16" name="toc-title">
    <vt:lpwstr>Table of contents</vt:lpwstr>
  </property>
</Properties>
</file>